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511AA" w14:textId="77777777" w:rsidR="000C7722" w:rsidRPr="000C7722" w:rsidRDefault="000C7722" w:rsidP="00324EA5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bookmarkStart w:id="0" w:name="_Toc354995212"/>
      <w:bookmarkStart w:id="1" w:name="_Toc354995246"/>
      <w:r w:rsidRPr="000C7722">
        <w:rPr>
          <w:rFonts w:ascii="Verdana" w:hAnsi="Verdana"/>
          <w:b/>
          <w:bCs/>
          <w:sz w:val="20"/>
          <w:szCs w:val="20"/>
        </w:rPr>
        <w:t>PARTE 2</w:t>
      </w:r>
    </w:p>
    <w:p w14:paraId="20F37F53" w14:textId="77777777" w:rsidR="000C7722" w:rsidRPr="000C7722" w:rsidRDefault="000C7722" w:rsidP="00324EA5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0C7722">
        <w:rPr>
          <w:rFonts w:ascii="Verdana" w:hAnsi="Verdana"/>
          <w:b/>
          <w:bCs/>
          <w:sz w:val="20"/>
          <w:szCs w:val="20"/>
        </w:rPr>
        <w:t>CONTROLES DE LEY Y ASUNTOS PRUDENCIALES</w:t>
      </w:r>
    </w:p>
    <w:p w14:paraId="38686174" w14:textId="77777777" w:rsidR="000C7722" w:rsidRPr="000C7722" w:rsidRDefault="000C7722" w:rsidP="000C7722">
      <w:pPr>
        <w:tabs>
          <w:tab w:val="left" w:pos="1134"/>
        </w:tabs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176F71DD" w14:textId="77777777" w:rsidR="000C7722" w:rsidRPr="000C7722" w:rsidRDefault="000C7722" w:rsidP="00324EA5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0C7722">
        <w:rPr>
          <w:rFonts w:ascii="Verdana" w:hAnsi="Verdana"/>
          <w:b/>
          <w:bCs/>
          <w:sz w:val="20"/>
          <w:szCs w:val="20"/>
        </w:rPr>
        <w:t>CAPÍTULO 4</w:t>
      </w:r>
    </w:p>
    <w:p w14:paraId="296FF325" w14:textId="77777777" w:rsidR="000C7722" w:rsidRPr="000C7722" w:rsidRDefault="000C7722" w:rsidP="00324EA5">
      <w:pPr>
        <w:spacing w:after="0"/>
        <w:jc w:val="center"/>
        <w:rPr>
          <w:rFonts w:ascii="Verdana" w:hAnsi="Verdana" w:cs="Arial"/>
          <w:b/>
          <w:bCs/>
          <w:sz w:val="20"/>
          <w:szCs w:val="20"/>
        </w:rPr>
      </w:pPr>
      <w:r w:rsidRPr="000C7722">
        <w:rPr>
          <w:rFonts w:ascii="Verdana" w:hAnsi="Verdana"/>
          <w:b/>
          <w:bCs/>
          <w:sz w:val="20"/>
          <w:szCs w:val="20"/>
        </w:rPr>
        <w:t>RELACIÓN MÍNIMA DE SOLVENCIA Y REQUERIMIENTOS DE PATRIMONIO DE LAS SOCIEDADES FIDUCIARIAS, SOCIEDADES</w:t>
      </w:r>
      <w:r w:rsidRPr="000C7722">
        <w:rPr>
          <w:rFonts w:ascii="Verdana" w:hAnsi="Verdana" w:cs="Arial"/>
          <w:b/>
          <w:bCs/>
          <w:sz w:val="20"/>
          <w:szCs w:val="20"/>
        </w:rPr>
        <w:t xml:space="preserve"> ADMINISTRADORAS DE FONDOS DE PENSIONES Y CESANTÍAS, SOCIEDADES COMISIONISTAS DE BOLSA DE VALORES Y SOCIEDADES ADMINISTRADORAS DE INVERSIÓN</w:t>
      </w:r>
    </w:p>
    <w:p w14:paraId="46CF8D56" w14:textId="77777777" w:rsidR="000C7722" w:rsidRPr="000C7722" w:rsidRDefault="000C7722" w:rsidP="000C7722">
      <w:pPr>
        <w:tabs>
          <w:tab w:val="left" w:pos="1134"/>
        </w:tabs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236DED3E" w14:textId="6650EF8E" w:rsidR="000C7722" w:rsidRPr="000C7722" w:rsidRDefault="000C7722" w:rsidP="00324EA5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0C7722">
        <w:rPr>
          <w:rFonts w:ascii="Verdana" w:hAnsi="Verdana"/>
          <w:b/>
          <w:bCs/>
          <w:sz w:val="20"/>
          <w:szCs w:val="20"/>
        </w:rPr>
        <w:t xml:space="preserve">SECCIÓN </w:t>
      </w:r>
      <w:r w:rsidRPr="00324EA5">
        <w:rPr>
          <w:rFonts w:ascii="Verdana" w:hAnsi="Verdana"/>
          <w:b/>
          <w:bCs/>
          <w:sz w:val="20"/>
          <w:szCs w:val="20"/>
        </w:rPr>
        <w:t>5</w:t>
      </w:r>
    </w:p>
    <w:bookmarkEnd w:id="0"/>
    <w:p w14:paraId="4B332490" w14:textId="40BE9322" w:rsidR="000C7722" w:rsidRPr="000C7722" w:rsidRDefault="000C7722" w:rsidP="00324EA5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324EA5">
        <w:rPr>
          <w:rFonts w:ascii="Verdana" w:hAnsi="Verdana"/>
          <w:b/>
          <w:bCs/>
          <w:sz w:val="20"/>
          <w:szCs w:val="20"/>
        </w:rPr>
        <w:t>OTROS ASPECTOS RELEVANTES</w:t>
      </w:r>
    </w:p>
    <w:p w14:paraId="785F86A5" w14:textId="77777777" w:rsidR="000C7722" w:rsidRDefault="000C7722" w:rsidP="0021350F">
      <w:pPr>
        <w:tabs>
          <w:tab w:val="left" w:pos="1134"/>
        </w:tabs>
        <w:jc w:val="center"/>
        <w:rPr>
          <w:rFonts w:ascii="Verdana" w:hAnsi="Verdana" w:cs="Arial"/>
          <w:b/>
          <w:bCs/>
          <w:sz w:val="20"/>
          <w:szCs w:val="20"/>
        </w:rPr>
      </w:pPr>
    </w:p>
    <w:bookmarkEnd w:id="1"/>
    <w:p w14:paraId="78C3786E" w14:textId="23D4CA32" w:rsidR="0021350F" w:rsidRPr="00A166F7" w:rsidRDefault="00FB5C3A" w:rsidP="00A166F7">
      <w:pPr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  <w:r w:rsidRPr="00A166F7">
        <w:rPr>
          <w:rFonts w:ascii="Verdana" w:hAnsi="Verdana" w:cs="Arial"/>
          <w:b/>
          <w:sz w:val="20"/>
          <w:szCs w:val="20"/>
        </w:rPr>
        <w:t>REPORTE DE LA INFORMACIÓN</w:t>
      </w:r>
    </w:p>
    <w:p w14:paraId="67456F14" w14:textId="77777777" w:rsidR="00FB5C3A" w:rsidRDefault="00FB5C3A" w:rsidP="00AE6F02">
      <w:pPr>
        <w:spacing w:after="0"/>
        <w:jc w:val="both"/>
        <w:rPr>
          <w:rFonts w:ascii="Verdana" w:hAnsi="Verdana" w:cs="Arial"/>
          <w:sz w:val="20"/>
          <w:szCs w:val="20"/>
        </w:rPr>
      </w:pPr>
    </w:p>
    <w:p w14:paraId="760F1963" w14:textId="355DB715" w:rsidR="00AE6F02" w:rsidRPr="00AE6F02" w:rsidRDefault="00AE6F02" w:rsidP="00AE6F02">
      <w:pPr>
        <w:spacing w:after="0"/>
        <w:jc w:val="both"/>
        <w:rPr>
          <w:rFonts w:ascii="Verdana" w:hAnsi="Verdana"/>
          <w:sz w:val="20"/>
          <w:szCs w:val="20"/>
        </w:rPr>
      </w:pPr>
      <w:r w:rsidRPr="00AE6F02">
        <w:rPr>
          <w:rFonts w:ascii="Verdana" w:hAnsi="Verdana"/>
          <w:sz w:val="20"/>
          <w:szCs w:val="20"/>
        </w:rPr>
        <w:t>2.4.5.1.</w:t>
      </w:r>
    </w:p>
    <w:p w14:paraId="7F02F869" w14:textId="04B8A0A1" w:rsidR="0021350F" w:rsidRPr="00923E21" w:rsidRDefault="00AE6F02" w:rsidP="00AE6F02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AE6F02">
        <w:rPr>
          <w:rFonts w:ascii="Verdana" w:hAnsi="Verdana"/>
          <w:sz w:val="20"/>
          <w:szCs w:val="20"/>
        </w:rPr>
        <w:t xml:space="preserve">Las entidades deben tener en cuenta </w:t>
      </w:r>
      <w:r w:rsidRPr="00165FEB">
        <w:rPr>
          <w:rFonts w:ascii="Verdana" w:hAnsi="Verdana"/>
          <w:sz w:val="20"/>
          <w:szCs w:val="20"/>
        </w:rPr>
        <w:t xml:space="preserve">las instrucciones impartidas en este </w:t>
      </w:r>
      <w:r w:rsidR="00165FEB" w:rsidRPr="00165FEB">
        <w:rPr>
          <w:rFonts w:ascii="Verdana" w:hAnsi="Verdana"/>
          <w:sz w:val="20"/>
          <w:szCs w:val="20"/>
        </w:rPr>
        <w:t>c</w:t>
      </w:r>
      <w:r w:rsidRPr="00165FEB">
        <w:rPr>
          <w:rFonts w:ascii="Verdana" w:hAnsi="Verdana"/>
          <w:sz w:val="20"/>
          <w:szCs w:val="20"/>
        </w:rPr>
        <w:t>apítulo y en sus respectivos anexos,</w:t>
      </w:r>
      <w:r w:rsidRPr="00AE6F02">
        <w:rPr>
          <w:rFonts w:ascii="Verdana" w:hAnsi="Verdana"/>
          <w:sz w:val="20"/>
          <w:szCs w:val="20"/>
        </w:rPr>
        <w:t xml:space="preserve"> así como en la Proforma F.7000-22  (Formato 422) “Declaración del Control de Ley Relación Mínima de Solvencia - Sociedades Fiduciarias”, Proforma F.6000-39 (Formato 421) “Declaración del control de Ley Relación Mínima  de Solvencia - Sociedades Administradoras de Fondos de Pensiones y de Cesantías” y Proforma F.8000-64 (Formato 423) “Declaración del Control de Ley relación mínima  de solvencia - Sociedades Comisionistas de Bolsa de Valores y Sociedades Administradoras de Inversión”, que incluyen los correspondientes instructivos y tablas de referencia, y las demás normas que los modifiquen o sustituyan.</w:t>
      </w:r>
    </w:p>
    <w:p w14:paraId="3FD69286" w14:textId="77777777" w:rsidR="00FB5C3A" w:rsidRDefault="00FB5C3A" w:rsidP="00A166F7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2BC521BC" w14:textId="3DCEC133" w:rsidR="0021350F" w:rsidRPr="00A166F7" w:rsidRDefault="00FB5C3A" w:rsidP="00A166F7">
      <w:pPr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  <w:r w:rsidRPr="00A166F7">
        <w:rPr>
          <w:rFonts w:ascii="Verdana" w:hAnsi="Verdana" w:cs="Arial"/>
          <w:b/>
          <w:sz w:val="20"/>
          <w:szCs w:val="20"/>
        </w:rPr>
        <w:t>SANCIONES</w:t>
      </w:r>
    </w:p>
    <w:p w14:paraId="52B62094" w14:textId="77777777" w:rsidR="00FB5C3A" w:rsidRDefault="00FB5C3A" w:rsidP="00226F72">
      <w:pPr>
        <w:spacing w:after="0"/>
        <w:jc w:val="both"/>
        <w:rPr>
          <w:rFonts w:ascii="Verdana" w:hAnsi="Verdana" w:cs="Arial"/>
          <w:sz w:val="20"/>
          <w:szCs w:val="20"/>
        </w:rPr>
      </w:pPr>
    </w:p>
    <w:p w14:paraId="68795FE7" w14:textId="25C00615" w:rsidR="00226F72" w:rsidRPr="00AE6F02" w:rsidRDefault="00226F72" w:rsidP="00226F72">
      <w:pPr>
        <w:spacing w:after="0"/>
        <w:jc w:val="both"/>
        <w:rPr>
          <w:rFonts w:ascii="Verdana" w:hAnsi="Verdana"/>
          <w:sz w:val="20"/>
          <w:szCs w:val="20"/>
        </w:rPr>
      </w:pPr>
      <w:r w:rsidRPr="00AE6F02">
        <w:rPr>
          <w:rFonts w:ascii="Verdana" w:hAnsi="Verdana"/>
          <w:sz w:val="20"/>
          <w:szCs w:val="20"/>
        </w:rPr>
        <w:t>2.4.5.</w:t>
      </w:r>
      <w:r>
        <w:rPr>
          <w:rFonts w:ascii="Verdana" w:hAnsi="Verdana"/>
          <w:sz w:val="20"/>
          <w:szCs w:val="20"/>
        </w:rPr>
        <w:t>2</w:t>
      </w:r>
      <w:r w:rsidRPr="00AE6F02">
        <w:rPr>
          <w:rFonts w:ascii="Verdana" w:hAnsi="Verdana"/>
          <w:sz w:val="20"/>
          <w:szCs w:val="20"/>
        </w:rPr>
        <w:t>.</w:t>
      </w:r>
    </w:p>
    <w:p w14:paraId="13916374" w14:textId="77777777" w:rsidR="0021350F" w:rsidRPr="00923E21" w:rsidRDefault="0021350F" w:rsidP="0021350F">
      <w:pPr>
        <w:jc w:val="both"/>
        <w:outlineLvl w:val="0"/>
        <w:rPr>
          <w:rFonts w:ascii="Verdana" w:hAnsi="Verdana" w:cs="Arial"/>
          <w:sz w:val="20"/>
          <w:szCs w:val="20"/>
        </w:rPr>
      </w:pPr>
      <w:r w:rsidRPr="00923E21">
        <w:rPr>
          <w:rFonts w:ascii="Verdana" w:hAnsi="Verdana" w:cs="Arial"/>
          <w:sz w:val="20"/>
          <w:szCs w:val="20"/>
        </w:rPr>
        <w:t>La SFC podrá imponer a las entidades sujetas a planes de ajuste las sanciones correspondientes en la forma ordinaria, sin considerar el hecho de la ejecución del citado plan. Lo anterior sin perjuicio de las demás sanciones o medidas administrativas a que haya lugar, cuando verifique el incumplimiento de cualquiera de las condiciones, metas o compromisos del referido plan de ajuste.</w:t>
      </w:r>
    </w:p>
    <w:p w14:paraId="4958F985" w14:textId="5FAFAC79" w:rsidR="00226F72" w:rsidRPr="00AE6F02" w:rsidRDefault="00226F72" w:rsidP="00226F72">
      <w:pPr>
        <w:spacing w:after="0"/>
        <w:jc w:val="both"/>
        <w:rPr>
          <w:rFonts w:ascii="Verdana" w:hAnsi="Verdana"/>
          <w:sz w:val="20"/>
          <w:szCs w:val="20"/>
        </w:rPr>
      </w:pPr>
      <w:r w:rsidRPr="00AE6F02">
        <w:rPr>
          <w:rFonts w:ascii="Verdana" w:hAnsi="Verdana"/>
          <w:sz w:val="20"/>
          <w:szCs w:val="20"/>
        </w:rPr>
        <w:t>2.4.5.</w:t>
      </w:r>
      <w:r>
        <w:rPr>
          <w:rFonts w:ascii="Verdana" w:hAnsi="Verdana"/>
          <w:sz w:val="20"/>
          <w:szCs w:val="20"/>
        </w:rPr>
        <w:t>3</w:t>
      </w:r>
      <w:r w:rsidRPr="00AE6F02">
        <w:rPr>
          <w:rFonts w:ascii="Verdana" w:hAnsi="Verdana"/>
          <w:sz w:val="20"/>
          <w:szCs w:val="20"/>
        </w:rPr>
        <w:t>.</w:t>
      </w:r>
    </w:p>
    <w:p w14:paraId="7E25A748" w14:textId="77777777" w:rsidR="0021350F" w:rsidRPr="00923E21" w:rsidRDefault="0021350F" w:rsidP="0021350F">
      <w:pPr>
        <w:jc w:val="both"/>
        <w:outlineLvl w:val="0"/>
        <w:rPr>
          <w:rFonts w:ascii="Verdana" w:hAnsi="Verdana" w:cs="Arial"/>
          <w:sz w:val="20"/>
          <w:szCs w:val="20"/>
        </w:rPr>
      </w:pPr>
      <w:r w:rsidRPr="00923E21">
        <w:rPr>
          <w:rFonts w:ascii="Verdana" w:hAnsi="Verdana" w:cs="Arial"/>
          <w:sz w:val="20"/>
          <w:szCs w:val="20"/>
        </w:rPr>
        <w:t>Bajo ningún entendido la aprobación del plan de ajuste que presenten las entidades las exime de la responsabilidad que les corresponde por el cumplimiento de las relaciones de solvencia y otros requerimientos patrimoniales.</w:t>
      </w:r>
    </w:p>
    <w:p w14:paraId="717877A5" w14:textId="5E836443" w:rsidR="00226F72" w:rsidRPr="00AE6F02" w:rsidRDefault="00226F72" w:rsidP="00226F72">
      <w:pPr>
        <w:spacing w:after="0"/>
        <w:jc w:val="both"/>
        <w:rPr>
          <w:rFonts w:ascii="Verdana" w:hAnsi="Verdana"/>
          <w:sz w:val="20"/>
          <w:szCs w:val="20"/>
        </w:rPr>
      </w:pPr>
      <w:r w:rsidRPr="00AE6F02">
        <w:rPr>
          <w:rFonts w:ascii="Verdana" w:hAnsi="Verdana"/>
          <w:sz w:val="20"/>
          <w:szCs w:val="20"/>
        </w:rPr>
        <w:t>2.4.5.</w:t>
      </w:r>
      <w:r>
        <w:rPr>
          <w:rFonts w:ascii="Verdana" w:hAnsi="Verdana"/>
          <w:sz w:val="20"/>
          <w:szCs w:val="20"/>
        </w:rPr>
        <w:t>4</w:t>
      </w:r>
      <w:r w:rsidRPr="00AE6F02">
        <w:rPr>
          <w:rFonts w:ascii="Verdana" w:hAnsi="Verdana"/>
          <w:sz w:val="20"/>
          <w:szCs w:val="20"/>
        </w:rPr>
        <w:t>.</w:t>
      </w:r>
    </w:p>
    <w:p w14:paraId="6903D9DB" w14:textId="5B2A592E" w:rsidR="0021350F" w:rsidRPr="00923E21" w:rsidRDefault="0021350F" w:rsidP="0021350F">
      <w:pPr>
        <w:jc w:val="both"/>
        <w:outlineLvl w:val="0"/>
        <w:rPr>
          <w:rFonts w:ascii="Verdana" w:hAnsi="Verdana" w:cs="Arial"/>
          <w:sz w:val="20"/>
          <w:szCs w:val="20"/>
        </w:rPr>
      </w:pPr>
      <w:r w:rsidRPr="00923E21">
        <w:rPr>
          <w:rFonts w:ascii="Verdana" w:hAnsi="Verdana" w:cs="Arial"/>
          <w:sz w:val="20"/>
          <w:szCs w:val="20"/>
        </w:rPr>
        <w:t>Adicionalmente, en el evento en que la entidad incumpla con la relación mínima de solvencia, la SFC le impondrá una multa a favor del Tesoro Nacional por el equivalente al 3.5% del valor del defecto patrimonial, por cada mes del periodo de control sin exceder el 1.5% del patrimonio requerido para su cumplimiento</w:t>
      </w:r>
      <w:r w:rsidR="00146129">
        <w:rPr>
          <w:rFonts w:ascii="Verdana" w:hAnsi="Verdana" w:cs="Arial"/>
          <w:sz w:val="20"/>
          <w:szCs w:val="20"/>
        </w:rPr>
        <w:t>, de acuerdo con la normatividad aplicable</w:t>
      </w:r>
      <w:r w:rsidRPr="00923E21">
        <w:rPr>
          <w:rFonts w:ascii="Verdana" w:hAnsi="Verdana" w:cs="Arial"/>
          <w:sz w:val="20"/>
          <w:szCs w:val="20"/>
        </w:rPr>
        <w:t>.</w:t>
      </w:r>
    </w:p>
    <w:p w14:paraId="71AA522D" w14:textId="09B82721" w:rsidR="00226F72" w:rsidRPr="00AE6F02" w:rsidRDefault="00226F72" w:rsidP="00226F72">
      <w:pPr>
        <w:spacing w:after="0"/>
        <w:jc w:val="both"/>
        <w:rPr>
          <w:rFonts w:ascii="Verdana" w:hAnsi="Verdana"/>
          <w:sz w:val="20"/>
          <w:szCs w:val="20"/>
        </w:rPr>
      </w:pPr>
      <w:r w:rsidRPr="00AE6F02">
        <w:rPr>
          <w:rFonts w:ascii="Verdana" w:hAnsi="Verdana"/>
          <w:sz w:val="20"/>
          <w:szCs w:val="20"/>
        </w:rPr>
        <w:t>2.4.5.</w:t>
      </w:r>
      <w:r>
        <w:rPr>
          <w:rFonts w:ascii="Verdana" w:hAnsi="Verdana"/>
          <w:sz w:val="20"/>
          <w:szCs w:val="20"/>
        </w:rPr>
        <w:t>5</w:t>
      </w:r>
      <w:r w:rsidRPr="00AE6F02">
        <w:rPr>
          <w:rFonts w:ascii="Verdana" w:hAnsi="Verdana"/>
          <w:sz w:val="20"/>
          <w:szCs w:val="20"/>
        </w:rPr>
        <w:t>.</w:t>
      </w:r>
    </w:p>
    <w:p w14:paraId="79C77BBE" w14:textId="77777777" w:rsidR="0021350F" w:rsidRPr="00923E21" w:rsidRDefault="0021350F" w:rsidP="0021350F">
      <w:pPr>
        <w:jc w:val="both"/>
        <w:outlineLvl w:val="0"/>
        <w:rPr>
          <w:rFonts w:ascii="Verdana" w:hAnsi="Verdana" w:cs="Arial"/>
          <w:sz w:val="20"/>
          <w:szCs w:val="20"/>
        </w:rPr>
      </w:pPr>
      <w:r w:rsidRPr="00923E21">
        <w:rPr>
          <w:rFonts w:ascii="Verdana" w:hAnsi="Verdana" w:cs="Arial"/>
          <w:sz w:val="20"/>
          <w:szCs w:val="20"/>
        </w:rPr>
        <w:t xml:space="preserve">Lo anterior, sin perjuicio de las demás sanciones o medidas administrativas que imponga la SFC conforme a sus facultades legales, tales como las señaladas en </w:t>
      </w:r>
      <w:r w:rsidRPr="00684A9D">
        <w:rPr>
          <w:rFonts w:ascii="Verdana" w:hAnsi="Verdana" w:cs="Arial"/>
          <w:sz w:val="20"/>
          <w:szCs w:val="20"/>
        </w:rPr>
        <w:t>el artículo 208 del EOSF.</w:t>
      </w:r>
    </w:p>
    <w:p w14:paraId="78C1DABA" w14:textId="1C60C068" w:rsidR="00226F72" w:rsidRPr="00AE6F02" w:rsidRDefault="00226F72" w:rsidP="00226F72">
      <w:pPr>
        <w:spacing w:after="0"/>
        <w:jc w:val="both"/>
        <w:rPr>
          <w:rFonts w:ascii="Verdana" w:hAnsi="Verdana"/>
          <w:sz w:val="20"/>
          <w:szCs w:val="20"/>
        </w:rPr>
      </w:pPr>
      <w:r w:rsidRPr="00AE6F02">
        <w:rPr>
          <w:rFonts w:ascii="Verdana" w:hAnsi="Verdana"/>
          <w:sz w:val="20"/>
          <w:szCs w:val="20"/>
        </w:rPr>
        <w:t>2.4.5.</w:t>
      </w:r>
      <w:r>
        <w:rPr>
          <w:rFonts w:ascii="Verdana" w:hAnsi="Verdana"/>
          <w:sz w:val="20"/>
          <w:szCs w:val="20"/>
        </w:rPr>
        <w:t>6</w:t>
      </w:r>
      <w:r w:rsidRPr="00AE6F02">
        <w:rPr>
          <w:rFonts w:ascii="Verdana" w:hAnsi="Verdana"/>
          <w:sz w:val="20"/>
          <w:szCs w:val="20"/>
        </w:rPr>
        <w:t>.</w:t>
      </w:r>
    </w:p>
    <w:p w14:paraId="47AB0057" w14:textId="77777777" w:rsidR="0021350F" w:rsidRPr="00923E21" w:rsidRDefault="0021350F" w:rsidP="0021350F">
      <w:pPr>
        <w:jc w:val="both"/>
        <w:outlineLvl w:val="0"/>
        <w:rPr>
          <w:rFonts w:ascii="Verdana" w:hAnsi="Verdana" w:cs="Arial"/>
          <w:sz w:val="20"/>
          <w:szCs w:val="20"/>
        </w:rPr>
      </w:pPr>
      <w:r w:rsidRPr="00923E21">
        <w:rPr>
          <w:rFonts w:ascii="Verdana" w:hAnsi="Verdana" w:cs="Arial"/>
          <w:sz w:val="20"/>
          <w:szCs w:val="20"/>
        </w:rPr>
        <w:t>En el caso en que una misma entidad incumpla las relaciones mínimas de solvencia de forma individual y de forma consolidada, se le aplicará la sanción que resulte mayor.</w:t>
      </w:r>
    </w:p>
    <w:p w14:paraId="46C21193" w14:textId="27C9758F" w:rsidR="00226F72" w:rsidRPr="00AE6F02" w:rsidRDefault="00226F72" w:rsidP="00226F72">
      <w:pPr>
        <w:spacing w:after="0"/>
        <w:jc w:val="both"/>
        <w:rPr>
          <w:rFonts w:ascii="Verdana" w:hAnsi="Verdana"/>
          <w:sz w:val="20"/>
          <w:szCs w:val="20"/>
        </w:rPr>
      </w:pPr>
      <w:r w:rsidRPr="00AE6F02">
        <w:rPr>
          <w:rFonts w:ascii="Verdana" w:hAnsi="Verdana"/>
          <w:sz w:val="20"/>
          <w:szCs w:val="20"/>
        </w:rPr>
        <w:t>2.4.5.</w:t>
      </w:r>
      <w:r>
        <w:rPr>
          <w:rFonts w:ascii="Verdana" w:hAnsi="Verdana"/>
          <w:sz w:val="20"/>
          <w:szCs w:val="20"/>
        </w:rPr>
        <w:t>7</w:t>
      </w:r>
      <w:r w:rsidRPr="00AE6F02">
        <w:rPr>
          <w:rFonts w:ascii="Verdana" w:hAnsi="Verdana"/>
          <w:sz w:val="20"/>
          <w:szCs w:val="20"/>
        </w:rPr>
        <w:t>.</w:t>
      </w:r>
    </w:p>
    <w:p w14:paraId="22916752" w14:textId="2A0769A4" w:rsidR="0021350F" w:rsidRPr="00923E21" w:rsidRDefault="0021350F" w:rsidP="0021350F">
      <w:pPr>
        <w:jc w:val="both"/>
        <w:outlineLvl w:val="0"/>
        <w:rPr>
          <w:rFonts w:ascii="Verdana" w:hAnsi="Verdana" w:cs="Arial"/>
          <w:sz w:val="20"/>
          <w:szCs w:val="20"/>
        </w:rPr>
      </w:pPr>
      <w:r w:rsidRPr="00923E21">
        <w:rPr>
          <w:rFonts w:ascii="Verdana" w:hAnsi="Verdana" w:cs="Arial"/>
          <w:sz w:val="20"/>
          <w:szCs w:val="20"/>
        </w:rPr>
        <w:t>Adicionalmente, cuando una entidad presente defectos en las relaciones de solvencia, tiene la obligación de autoliquidar la sanción, así como de remitir a la SFC las explicaciones pertinentes y las acciones correctivas a que haya lugar.</w:t>
      </w:r>
    </w:p>
    <w:p w14:paraId="1CEFA484" w14:textId="77777777" w:rsidR="0021350F" w:rsidRPr="00923E21" w:rsidRDefault="0021350F" w:rsidP="000001A2">
      <w:pPr>
        <w:spacing w:after="0"/>
        <w:rPr>
          <w:rFonts w:ascii="Verdana" w:hAnsi="Verdana"/>
          <w:sz w:val="20"/>
          <w:szCs w:val="20"/>
        </w:rPr>
      </w:pPr>
    </w:p>
    <w:sectPr w:rsidR="0021350F" w:rsidRPr="00923E21" w:rsidSect="003C558F">
      <w:headerReference w:type="default" r:id="rId10"/>
      <w:pgSz w:w="12240" w:h="20160" w:code="5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F9E38" w14:textId="77777777" w:rsidR="00D30433" w:rsidRDefault="00D30433" w:rsidP="00057BF6">
      <w:pPr>
        <w:spacing w:after="0" w:line="240" w:lineRule="auto"/>
      </w:pPr>
      <w:r>
        <w:separator/>
      </w:r>
    </w:p>
  </w:endnote>
  <w:endnote w:type="continuationSeparator" w:id="0">
    <w:p w14:paraId="4BC0E6BF" w14:textId="77777777" w:rsidR="00D30433" w:rsidRDefault="00D30433" w:rsidP="00057BF6">
      <w:pPr>
        <w:spacing w:after="0" w:line="240" w:lineRule="auto"/>
      </w:pPr>
      <w:r>
        <w:continuationSeparator/>
      </w:r>
    </w:p>
  </w:endnote>
  <w:endnote w:type="continuationNotice" w:id="1">
    <w:p w14:paraId="21CED1AE" w14:textId="77777777" w:rsidR="00D30433" w:rsidRDefault="00D304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08A45" w14:textId="77777777" w:rsidR="00D30433" w:rsidRDefault="00D30433" w:rsidP="00057BF6">
      <w:pPr>
        <w:spacing w:after="0" w:line="240" w:lineRule="auto"/>
      </w:pPr>
      <w:r>
        <w:separator/>
      </w:r>
    </w:p>
  </w:footnote>
  <w:footnote w:type="continuationSeparator" w:id="0">
    <w:p w14:paraId="4A6F3157" w14:textId="77777777" w:rsidR="00D30433" w:rsidRDefault="00D30433" w:rsidP="00057BF6">
      <w:pPr>
        <w:spacing w:after="0" w:line="240" w:lineRule="auto"/>
      </w:pPr>
      <w:r>
        <w:continuationSeparator/>
      </w:r>
    </w:p>
  </w:footnote>
  <w:footnote w:type="continuationNotice" w:id="1">
    <w:p w14:paraId="61D4810B" w14:textId="77777777" w:rsidR="00D30433" w:rsidRDefault="00D304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3DA6" w14:textId="177B21D3" w:rsidR="00057BF6" w:rsidRPr="003A5CFE" w:rsidRDefault="003A5CFE" w:rsidP="003A5CFE">
    <w:pPr>
      <w:pStyle w:val="Encabezado"/>
      <w:jc w:val="center"/>
      <w:rPr>
        <w:rFonts w:ascii="Verdana" w:hAnsi="Verdana"/>
        <w:b/>
        <w:bCs/>
      </w:rPr>
    </w:pPr>
    <w:r w:rsidRPr="003A5CFE">
      <w:rPr>
        <w:rFonts w:ascii="Verdana" w:hAnsi="Verdana"/>
        <w:b/>
        <w:bCs/>
      </w:rPr>
      <w:t>SUPERINTENDENCIA FINANCIERA DE COLOMBIA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F4F31"/>
    <w:multiLevelType w:val="hybridMultilevel"/>
    <w:tmpl w:val="3D4886C6"/>
    <w:lvl w:ilvl="0" w:tplc="DA628EB0">
      <w:start w:val="1"/>
      <w:numFmt w:val="lowerLetter"/>
      <w:pStyle w:val="Normal9pt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B1D30CA"/>
    <w:multiLevelType w:val="multilevel"/>
    <w:tmpl w:val="B3F2EB70"/>
    <w:lvl w:ilvl="0">
      <w:start w:val="1"/>
      <w:numFmt w:val="decimal"/>
      <w:pStyle w:val="Titulo2"/>
      <w:lvlText w:val="%1."/>
      <w:lvlJc w:val="left"/>
      <w:pPr>
        <w:tabs>
          <w:tab w:val="num" w:pos="786"/>
        </w:tabs>
        <w:ind w:left="426" w:firstLine="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pStyle w:val="Titulo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b/>
      </w:rPr>
    </w:lvl>
  </w:abstractNum>
  <w:num w:numId="1" w16cid:durableId="402528448">
    <w:abstractNumId w:val="0"/>
  </w:num>
  <w:num w:numId="2" w16cid:durableId="119630758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85"/>
    <w:rsid w:val="000001A2"/>
    <w:rsid w:val="00007117"/>
    <w:rsid w:val="00025619"/>
    <w:rsid w:val="00057BF6"/>
    <w:rsid w:val="0006736C"/>
    <w:rsid w:val="00076A51"/>
    <w:rsid w:val="000A1E89"/>
    <w:rsid w:val="000A20C1"/>
    <w:rsid w:val="000A3127"/>
    <w:rsid w:val="000C7722"/>
    <w:rsid w:val="00111235"/>
    <w:rsid w:val="00146129"/>
    <w:rsid w:val="00165FEB"/>
    <w:rsid w:val="001A285D"/>
    <w:rsid w:val="001A5553"/>
    <w:rsid w:val="001B5187"/>
    <w:rsid w:val="00211AFC"/>
    <w:rsid w:val="0021350F"/>
    <w:rsid w:val="0021666A"/>
    <w:rsid w:val="00226F72"/>
    <w:rsid w:val="002B4F4A"/>
    <w:rsid w:val="002F5CF4"/>
    <w:rsid w:val="002F6A03"/>
    <w:rsid w:val="0030595B"/>
    <w:rsid w:val="00324EA5"/>
    <w:rsid w:val="003502D8"/>
    <w:rsid w:val="003717FE"/>
    <w:rsid w:val="00381A5A"/>
    <w:rsid w:val="00385481"/>
    <w:rsid w:val="00387185"/>
    <w:rsid w:val="003A5CFE"/>
    <w:rsid w:val="003C558F"/>
    <w:rsid w:val="003D6E38"/>
    <w:rsid w:val="003E442E"/>
    <w:rsid w:val="003E7417"/>
    <w:rsid w:val="003F1D6B"/>
    <w:rsid w:val="0040498E"/>
    <w:rsid w:val="00405030"/>
    <w:rsid w:val="00406D2B"/>
    <w:rsid w:val="0043223D"/>
    <w:rsid w:val="004B3B0E"/>
    <w:rsid w:val="00527A35"/>
    <w:rsid w:val="005550BE"/>
    <w:rsid w:val="0055785C"/>
    <w:rsid w:val="00596B88"/>
    <w:rsid w:val="005D11EE"/>
    <w:rsid w:val="0061423F"/>
    <w:rsid w:val="00620854"/>
    <w:rsid w:val="00684A9D"/>
    <w:rsid w:val="006B11D4"/>
    <w:rsid w:val="006E3CFA"/>
    <w:rsid w:val="00710C3C"/>
    <w:rsid w:val="00721D02"/>
    <w:rsid w:val="007244C5"/>
    <w:rsid w:val="00737EE9"/>
    <w:rsid w:val="00745EC0"/>
    <w:rsid w:val="007944C8"/>
    <w:rsid w:val="007A302E"/>
    <w:rsid w:val="007F062D"/>
    <w:rsid w:val="007F401B"/>
    <w:rsid w:val="00806F9A"/>
    <w:rsid w:val="00873423"/>
    <w:rsid w:val="00896F38"/>
    <w:rsid w:val="008C7C8A"/>
    <w:rsid w:val="00921799"/>
    <w:rsid w:val="00923E21"/>
    <w:rsid w:val="009432DA"/>
    <w:rsid w:val="00956EC8"/>
    <w:rsid w:val="009571FD"/>
    <w:rsid w:val="009A2823"/>
    <w:rsid w:val="009A6B04"/>
    <w:rsid w:val="009B6D85"/>
    <w:rsid w:val="009C2114"/>
    <w:rsid w:val="009D4825"/>
    <w:rsid w:val="009D6127"/>
    <w:rsid w:val="009D7ED7"/>
    <w:rsid w:val="00A166F7"/>
    <w:rsid w:val="00A21035"/>
    <w:rsid w:val="00A41E5E"/>
    <w:rsid w:val="00AE6F02"/>
    <w:rsid w:val="00B43ACE"/>
    <w:rsid w:val="00BC0E2B"/>
    <w:rsid w:val="00BD41B8"/>
    <w:rsid w:val="00C27706"/>
    <w:rsid w:val="00C52689"/>
    <w:rsid w:val="00C61AC4"/>
    <w:rsid w:val="00C92F18"/>
    <w:rsid w:val="00C96F7B"/>
    <w:rsid w:val="00CC3647"/>
    <w:rsid w:val="00CC6142"/>
    <w:rsid w:val="00CD7FF3"/>
    <w:rsid w:val="00CE291E"/>
    <w:rsid w:val="00D30433"/>
    <w:rsid w:val="00D333B3"/>
    <w:rsid w:val="00D749A2"/>
    <w:rsid w:val="00D77EA8"/>
    <w:rsid w:val="00D8371E"/>
    <w:rsid w:val="00DA0C0E"/>
    <w:rsid w:val="00DB3370"/>
    <w:rsid w:val="00E03CCC"/>
    <w:rsid w:val="00E304F2"/>
    <w:rsid w:val="00E37B0E"/>
    <w:rsid w:val="00E556F1"/>
    <w:rsid w:val="00E822FB"/>
    <w:rsid w:val="00EF484B"/>
    <w:rsid w:val="00F966AB"/>
    <w:rsid w:val="00FA7A33"/>
    <w:rsid w:val="00FB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55A74"/>
  <w15:chartTrackingRefBased/>
  <w15:docId w15:val="{542C7A95-EB57-49ED-8ECD-A1F12FD9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B6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nhideWhenUsed/>
    <w:qFormat/>
    <w:rsid w:val="009B6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nhideWhenUsed/>
    <w:qFormat/>
    <w:rsid w:val="009B6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nhideWhenUsed/>
    <w:qFormat/>
    <w:rsid w:val="009B6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nhideWhenUsed/>
    <w:qFormat/>
    <w:rsid w:val="009B6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B6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B6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B6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B6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B6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rsid w:val="009B6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rsid w:val="009B6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rsid w:val="009B6D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rsid w:val="009B6D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B6D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B6D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B6D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B6D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99"/>
    <w:qFormat/>
    <w:rsid w:val="009B6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99"/>
    <w:rsid w:val="009B6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B6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B6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B6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B6D8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B6D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B6D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B6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B6D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B6D8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7BF6"/>
  </w:style>
  <w:style w:type="paragraph" w:styleId="Piedepgina">
    <w:name w:val="footer"/>
    <w:basedOn w:val="Normal"/>
    <w:link w:val="PiedepginaCar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057BF6"/>
  </w:style>
  <w:style w:type="character" w:styleId="Nmerodepgina">
    <w:name w:val="page number"/>
    <w:basedOn w:val="Fuentedeprrafopredeter"/>
    <w:rsid w:val="0021350F"/>
  </w:style>
  <w:style w:type="character" w:customStyle="1" w:styleId="Fuentedeencabezadopredeter">
    <w:name w:val="Fuente de encabezado predeter."/>
    <w:rsid w:val="0021350F"/>
  </w:style>
  <w:style w:type="character" w:customStyle="1" w:styleId="Documento4">
    <w:name w:val="Documento 4"/>
    <w:rsid w:val="0021350F"/>
    <w:rPr>
      <w:b/>
      <w:i/>
      <w:sz w:val="24"/>
    </w:rPr>
  </w:style>
  <w:style w:type="character" w:customStyle="1" w:styleId="Bibliogr">
    <w:name w:val="Bibliogr."/>
    <w:basedOn w:val="Fuentedeencabezadopredeter"/>
    <w:rsid w:val="0021350F"/>
  </w:style>
  <w:style w:type="character" w:customStyle="1" w:styleId="Documento5">
    <w:name w:val="Documento 5"/>
    <w:basedOn w:val="Fuentedeencabezadopredeter"/>
    <w:rsid w:val="0021350F"/>
  </w:style>
  <w:style w:type="character" w:customStyle="1" w:styleId="Documento2">
    <w:name w:val="Documento 2"/>
    <w:rsid w:val="0021350F"/>
    <w:rPr>
      <w:rFonts w:ascii="Courier" w:hAnsi="Courier"/>
      <w:noProof w:val="0"/>
      <w:sz w:val="24"/>
      <w:lang w:val="en-US"/>
    </w:rPr>
  </w:style>
  <w:style w:type="character" w:customStyle="1" w:styleId="Documento6">
    <w:name w:val="Documento 6"/>
    <w:basedOn w:val="Fuentedeencabezadopredeter"/>
    <w:rsid w:val="0021350F"/>
  </w:style>
  <w:style w:type="character" w:customStyle="1" w:styleId="Documento7">
    <w:name w:val="Documento 7"/>
    <w:basedOn w:val="Fuentedeencabezadopredeter"/>
    <w:rsid w:val="0021350F"/>
  </w:style>
  <w:style w:type="character" w:customStyle="1" w:styleId="Documento8">
    <w:name w:val="Documento 8"/>
    <w:basedOn w:val="Fuentedeencabezadopredeter"/>
    <w:rsid w:val="0021350F"/>
  </w:style>
  <w:style w:type="character" w:customStyle="1" w:styleId="Documento3">
    <w:name w:val="Documento 3"/>
    <w:rsid w:val="0021350F"/>
    <w:rPr>
      <w:rFonts w:ascii="Courier" w:hAnsi="Courier"/>
      <w:noProof w:val="0"/>
      <w:sz w:val="24"/>
      <w:lang w:val="en-US"/>
    </w:rPr>
  </w:style>
  <w:style w:type="paragraph" w:customStyle="1" w:styleId="Prder1">
    <w:name w:val="PÀÀr. der. 1"/>
    <w:rsid w:val="0021350F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 w:hanging="208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2">
    <w:name w:val="PÀÀr. der. 2"/>
    <w:rsid w:val="0021350F"/>
    <w:pPr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left="1440" w:hanging="294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3">
    <w:name w:val="PÀÀr. der. 3"/>
    <w:rsid w:val="0021350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left="2160" w:hanging="236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4">
    <w:name w:val="PÀÀr. der. 4"/>
    <w:rsid w:val="0021350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left="2880" w:hanging="236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Documento1">
    <w:name w:val="Documento 1"/>
    <w:rsid w:val="0021350F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5">
    <w:name w:val="PÀÀr. der. 5"/>
    <w:rsid w:val="0021350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left="3600" w:hanging="356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6">
    <w:name w:val="PÀÀr. der. 6"/>
    <w:rsid w:val="0021350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left="4320" w:hanging="356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7">
    <w:name w:val="PÀÀr. der. 7"/>
    <w:rsid w:val="0021350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left="5040" w:hanging="222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8">
    <w:name w:val="PÀÀr. der. 8"/>
    <w:rsid w:val="0021350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left="5760" w:hanging="270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character" w:customStyle="1" w:styleId="Tcnico2">
    <w:name w:val="TÀ)Àcnico 2"/>
    <w:rsid w:val="0021350F"/>
    <w:rPr>
      <w:rFonts w:ascii="Courier" w:hAnsi="Courier"/>
      <w:noProof w:val="0"/>
      <w:sz w:val="24"/>
      <w:lang w:val="en-US"/>
    </w:rPr>
  </w:style>
  <w:style w:type="character" w:customStyle="1" w:styleId="Tcnico3">
    <w:name w:val="TÀ)Àcnico 3"/>
    <w:rsid w:val="0021350F"/>
    <w:rPr>
      <w:rFonts w:ascii="Courier" w:hAnsi="Courier"/>
      <w:noProof w:val="0"/>
      <w:sz w:val="24"/>
      <w:lang w:val="en-US"/>
    </w:rPr>
  </w:style>
  <w:style w:type="paragraph" w:customStyle="1" w:styleId="Tcnico4">
    <w:name w:val="TÀ)Àcnico 4"/>
    <w:rsid w:val="0021350F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b/>
      <w:snapToGrid w:val="0"/>
      <w:kern w:val="0"/>
      <w:sz w:val="24"/>
      <w:szCs w:val="20"/>
      <w:lang w:val="en-US" w:eastAsia="es-ES"/>
      <w14:ligatures w14:val="none"/>
    </w:rPr>
  </w:style>
  <w:style w:type="character" w:customStyle="1" w:styleId="Tcnico1">
    <w:name w:val="TÀ)Àcnico 1"/>
    <w:rsid w:val="0021350F"/>
    <w:rPr>
      <w:rFonts w:ascii="Courier" w:hAnsi="Courier"/>
      <w:noProof w:val="0"/>
      <w:sz w:val="24"/>
      <w:lang w:val="en-US"/>
    </w:rPr>
  </w:style>
  <w:style w:type="character" w:customStyle="1" w:styleId="Inicdoc">
    <w:name w:val="Inic. doc."/>
    <w:basedOn w:val="Fuentedeencabezadopredeter"/>
    <w:rsid w:val="0021350F"/>
  </w:style>
  <w:style w:type="paragraph" w:customStyle="1" w:styleId="Tcnico5">
    <w:name w:val="TÀ)Àcnico 5"/>
    <w:rsid w:val="0021350F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Tcnico6">
    <w:name w:val="TÀ)Àcnico 6"/>
    <w:rsid w:val="0021350F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Tcnico7">
    <w:name w:val="TÀ)Àcnico 7"/>
    <w:rsid w:val="0021350F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Tcnico8">
    <w:name w:val="TÀ)Àcnico 8"/>
    <w:rsid w:val="0021350F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napToGrid w:val="0"/>
      <w:kern w:val="0"/>
      <w:sz w:val="24"/>
      <w:szCs w:val="20"/>
      <w:lang w:val="en-US" w:eastAsia="es-ES"/>
      <w14:ligatures w14:val="none"/>
    </w:rPr>
  </w:style>
  <w:style w:type="character" w:customStyle="1" w:styleId="Inicestt">
    <w:name w:val="Inic. est. t"/>
    <w:rsid w:val="0021350F"/>
    <w:rPr>
      <w:rFonts w:ascii="Courier" w:hAnsi="Courier"/>
      <w:noProof w:val="0"/>
      <w:sz w:val="24"/>
      <w:lang w:val="en-US"/>
    </w:rPr>
  </w:style>
  <w:style w:type="paragraph" w:customStyle="1" w:styleId="Escrlegal">
    <w:name w:val="Escr. legal"/>
    <w:rsid w:val="0021350F"/>
    <w:pPr>
      <w:tabs>
        <w:tab w:val="left" w:pos="-720"/>
      </w:tabs>
      <w:suppressAutoHyphens/>
      <w:spacing w:after="0" w:line="240" w:lineRule="exact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character" w:customStyle="1" w:styleId="DefaultParagraphFo">
    <w:name w:val="Default Paragraph Fo"/>
    <w:basedOn w:val="Fuentedeencabezadopredeter"/>
    <w:rsid w:val="0021350F"/>
  </w:style>
  <w:style w:type="character" w:customStyle="1" w:styleId="Fuentedeencabezado">
    <w:name w:val="Fuente de encabezado"/>
    <w:basedOn w:val="Fuentedeencabezadopredeter"/>
    <w:rsid w:val="0021350F"/>
  </w:style>
  <w:style w:type="character" w:customStyle="1" w:styleId="Documento4a">
    <w:name w:val="Documento 4a"/>
    <w:rsid w:val="0021350F"/>
    <w:rPr>
      <w:b/>
      <w:i/>
      <w:sz w:val="24"/>
    </w:rPr>
  </w:style>
  <w:style w:type="character" w:customStyle="1" w:styleId="Documento5a">
    <w:name w:val="Documento 5a"/>
    <w:basedOn w:val="Fuentedeencabezadopredeter"/>
    <w:rsid w:val="0021350F"/>
  </w:style>
  <w:style w:type="character" w:customStyle="1" w:styleId="Documento2a">
    <w:name w:val="Documento 2a"/>
    <w:basedOn w:val="Fuentedeencabezadopredeter"/>
    <w:rsid w:val="0021350F"/>
  </w:style>
  <w:style w:type="character" w:customStyle="1" w:styleId="Documento6a">
    <w:name w:val="Documento 6a"/>
    <w:basedOn w:val="Fuentedeencabezadopredeter"/>
    <w:rsid w:val="0021350F"/>
  </w:style>
  <w:style w:type="character" w:customStyle="1" w:styleId="Documento7a">
    <w:name w:val="Documento 7a"/>
    <w:basedOn w:val="Fuentedeencabezadopredeter"/>
    <w:rsid w:val="0021350F"/>
  </w:style>
  <w:style w:type="character" w:customStyle="1" w:styleId="Documento8a">
    <w:name w:val="Documento 8a"/>
    <w:basedOn w:val="Fuentedeencabezadopredeter"/>
    <w:rsid w:val="0021350F"/>
  </w:style>
  <w:style w:type="character" w:customStyle="1" w:styleId="Documento3a">
    <w:name w:val="Documento 3a"/>
    <w:basedOn w:val="Fuentedeencabezadopredeter"/>
    <w:rsid w:val="0021350F"/>
  </w:style>
  <w:style w:type="paragraph" w:customStyle="1" w:styleId="Prder1a">
    <w:name w:val="PÀÀr. der. 1a"/>
    <w:rsid w:val="0021350F"/>
    <w:pPr>
      <w:tabs>
        <w:tab w:val="left" w:pos="-1026"/>
        <w:tab w:val="left" w:pos="-306"/>
        <w:tab w:val="left" w:pos="205"/>
        <w:tab w:val="decimal" w:pos="414"/>
        <w:tab w:val="left" w:pos="1134"/>
        <w:tab w:val="left" w:pos="1854"/>
        <w:tab w:val="left" w:pos="2574"/>
        <w:tab w:val="left" w:pos="3294"/>
        <w:tab w:val="left" w:pos="4014"/>
        <w:tab w:val="left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2a">
    <w:name w:val="PÀÀr. der. 2a"/>
    <w:rsid w:val="0021350F"/>
    <w:pPr>
      <w:tabs>
        <w:tab w:val="left" w:pos="-1026"/>
        <w:tab w:val="left" w:pos="-306"/>
        <w:tab w:val="left" w:pos="414"/>
        <w:tab w:val="left" w:pos="840"/>
        <w:tab w:val="decimal" w:pos="1134"/>
        <w:tab w:val="left" w:pos="1854"/>
        <w:tab w:val="left" w:pos="2574"/>
        <w:tab w:val="left" w:pos="3294"/>
        <w:tab w:val="left" w:pos="4014"/>
        <w:tab w:val="left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3a">
    <w:name w:val="PÀÀr. der. 3a"/>
    <w:rsid w:val="0021350F"/>
    <w:pPr>
      <w:tabs>
        <w:tab w:val="left" w:pos="-1026"/>
        <w:tab w:val="left" w:pos="-306"/>
        <w:tab w:val="left" w:pos="414"/>
        <w:tab w:val="left" w:pos="1134"/>
        <w:tab w:val="left" w:pos="1618"/>
        <w:tab w:val="decimal" w:pos="1854"/>
        <w:tab w:val="left" w:pos="2574"/>
        <w:tab w:val="left" w:pos="3294"/>
        <w:tab w:val="left" w:pos="4014"/>
        <w:tab w:val="left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4a">
    <w:name w:val="PÀÀr. der. 4a"/>
    <w:rsid w:val="0021350F"/>
    <w:pPr>
      <w:tabs>
        <w:tab w:val="left" w:pos="-1026"/>
        <w:tab w:val="left" w:pos="-306"/>
        <w:tab w:val="left" w:pos="414"/>
        <w:tab w:val="left" w:pos="1134"/>
        <w:tab w:val="left" w:pos="1854"/>
        <w:tab w:val="left" w:pos="2338"/>
        <w:tab w:val="decimal" w:pos="2574"/>
        <w:tab w:val="left" w:pos="3294"/>
        <w:tab w:val="left" w:pos="4014"/>
        <w:tab w:val="left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Documento1a">
    <w:name w:val="Documento 1a"/>
    <w:rsid w:val="0021350F"/>
    <w:pPr>
      <w:keepNext/>
      <w:keepLines/>
      <w:tabs>
        <w:tab w:val="left" w:pos="-1026"/>
        <w:tab w:val="left" w:pos="-306"/>
        <w:tab w:val="left" w:pos="414"/>
        <w:tab w:val="left" w:pos="1134"/>
        <w:tab w:val="left" w:pos="1854"/>
        <w:tab w:val="left" w:pos="2574"/>
        <w:tab w:val="left" w:pos="3294"/>
        <w:tab w:val="left" w:pos="4014"/>
        <w:tab w:val="left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5a">
    <w:name w:val="PÀÀr. der. 5a"/>
    <w:rsid w:val="0021350F"/>
    <w:pPr>
      <w:tabs>
        <w:tab w:val="left" w:pos="-1026"/>
        <w:tab w:val="left" w:pos="-306"/>
        <w:tab w:val="left" w:pos="414"/>
        <w:tab w:val="left" w:pos="1134"/>
        <w:tab w:val="left" w:pos="1854"/>
        <w:tab w:val="left" w:pos="2574"/>
        <w:tab w:val="left" w:pos="2938"/>
        <w:tab w:val="decimal" w:pos="3294"/>
        <w:tab w:val="left" w:pos="4014"/>
        <w:tab w:val="left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6a">
    <w:name w:val="PÀÀr. der. 6a"/>
    <w:rsid w:val="0021350F"/>
    <w:pPr>
      <w:tabs>
        <w:tab w:val="left" w:pos="-1026"/>
        <w:tab w:val="left" w:pos="-306"/>
        <w:tab w:val="left" w:pos="414"/>
        <w:tab w:val="left" w:pos="1134"/>
        <w:tab w:val="left" w:pos="1854"/>
        <w:tab w:val="left" w:pos="2574"/>
        <w:tab w:val="left" w:pos="3294"/>
        <w:tab w:val="left" w:pos="3658"/>
        <w:tab w:val="decimal" w:pos="4014"/>
        <w:tab w:val="left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7a">
    <w:name w:val="PÀÀr. der. 7a"/>
    <w:rsid w:val="0021350F"/>
    <w:pPr>
      <w:tabs>
        <w:tab w:val="left" w:pos="-1026"/>
        <w:tab w:val="left" w:pos="-306"/>
        <w:tab w:val="left" w:pos="414"/>
        <w:tab w:val="left" w:pos="1134"/>
        <w:tab w:val="left" w:pos="1854"/>
        <w:tab w:val="left" w:pos="2574"/>
        <w:tab w:val="left" w:pos="3294"/>
        <w:tab w:val="left" w:pos="4014"/>
        <w:tab w:val="left" w:pos="4512"/>
        <w:tab w:val="decimal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Prder8a">
    <w:name w:val="PÀÀr. der. 8a"/>
    <w:rsid w:val="0021350F"/>
    <w:pPr>
      <w:tabs>
        <w:tab w:val="left" w:pos="-1026"/>
        <w:tab w:val="left" w:pos="-306"/>
        <w:tab w:val="left" w:pos="414"/>
        <w:tab w:val="left" w:pos="1134"/>
        <w:tab w:val="left" w:pos="1854"/>
        <w:tab w:val="left" w:pos="2574"/>
        <w:tab w:val="left" w:pos="3294"/>
        <w:tab w:val="left" w:pos="4014"/>
        <w:tab w:val="left" w:pos="4734"/>
        <w:tab w:val="left" w:pos="5184"/>
        <w:tab w:val="decimal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character" w:customStyle="1" w:styleId="Tcnico2a">
    <w:name w:val="TÀ)Àcnico 2a"/>
    <w:basedOn w:val="Fuentedeencabezadopredeter"/>
    <w:rsid w:val="0021350F"/>
  </w:style>
  <w:style w:type="character" w:customStyle="1" w:styleId="Tcnico3a">
    <w:name w:val="TÀ)Àcnico 3a"/>
    <w:basedOn w:val="Fuentedeencabezadopredeter"/>
    <w:rsid w:val="0021350F"/>
  </w:style>
  <w:style w:type="paragraph" w:customStyle="1" w:styleId="Tcnico4a">
    <w:name w:val="TÀ)Àcnico 4a"/>
    <w:rsid w:val="0021350F"/>
    <w:pPr>
      <w:tabs>
        <w:tab w:val="left" w:pos="-1026"/>
        <w:tab w:val="left" w:pos="-306"/>
        <w:tab w:val="left" w:pos="414"/>
        <w:tab w:val="left" w:pos="1134"/>
        <w:tab w:val="left" w:pos="1854"/>
        <w:tab w:val="left" w:pos="2574"/>
        <w:tab w:val="left" w:pos="3294"/>
        <w:tab w:val="left" w:pos="4014"/>
        <w:tab w:val="left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b/>
      <w:snapToGrid w:val="0"/>
      <w:kern w:val="0"/>
      <w:sz w:val="24"/>
      <w:szCs w:val="20"/>
      <w:lang w:val="en-US" w:eastAsia="es-ES"/>
      <w14:ligatures w14:val="none"/>
    </w:rPr>
  </w:style>
  <w:style w:type="character" w:customStyle="1" w:styleId="Tcnico1a">
    <w:name w:val="TÀ)Àcnico 1a"/>
    <w:basedOn w:val="Fuentedeencabezadopredeter"/>
    <w:rsid w:val="0021350F"/>
  </w:style>
  <w:style w:type="paragraph" w:customStyle="1" w:styleId="Tcnico5a">
    <w:name w:val="TÀ)Àcnico 5a"/>
    <w:rsid w:val="0021350F"/>
    <w:pPr>
      <w:tabs>
        <w:tab w:val="left" w:pos="-1026"/>
        <w:tab w:val="left" w:pos="-306"/>
        <w:tab w:val="left" w:pos="414"/>
        <w:tab w:val="left" w:pos="1134"/>
        <w:tab w:val="left" w:pos="1854"/>
        <w:tab w:val="left" w:pos="2574"/>
        <w:tab w:val="left" w:pos="3294"/>
        <w:tab w:val="left" w:pos="4014"/>
        <w:tab w:val="left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b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Tcnico6a">
    <w:name w:val="TÀ)Àcnico 6a"/>
    <w:rsid w:val="0021350F"/>
    <w:pPr>
      <w:tabs>
        <w:tab w:val="left" w:pos="-1026"/>
        <w:tab w:val="left" w:pos="-306"/>
        <w:tab w:val="left" w:pos="414"/>
        <w:tab w:val="left" w:pos="1134"/>
        <w:tab w:val="left" w:pos="1854"/>
        <w:tab w:val="left" w:pos="2574"/>
        <w:tab w:val="left" w:pos="3294"/>
        <w:tab w:val="left" w:pos="4014"/>
        <w:tab w:val="left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b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Tcnico7a">
    <w:name w:val="TÀ)Àcnico 7a"/>
    <w:rsid w:val="0021350F"/>
    <w:pPr>
      <w:tabs>
        <w:tab w:val="left" w:pos="-1026"/>
        <w:tab w:val="left" w:pos="-306"/>
        <w:tab w:val="left" w:pos="414"/>
        <w:tab w:val="left" w:pos="1134"/>
        <w:tab w:val="left" w:pos="1854"/>
        <w:tab w:val="left" w:pos="2574"/>
        <w:tab w:val="left" w:pos="3294"/>
        <w:tab w:val="left" w:pos="4014"/>
        <w:tab w:val="left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b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Tcnico8a">
    <w:name w:val="TÀ)Àcnico 8a"/>
    <w:rsid w:val="0021350F"/>
    <w:pPr>
      <w:tabs>
        <w:tab w:val="left" w:pos="-1026"/>
        <w:tab w:val="left" w:pos="-306"/>
        <w:tab w:val="left" w:pos="414"/>
        <w:tab w:val="left" w:pos="1134"/>
        <w:tab w:val="left" w:pos="1854"/>
        <w:tab w:val="left" w:pos="2574"/>
        <w:tab w:val="left" w:pos="3294"/>
        <w:tab w:val="left" w:pos="4014"/>
        <w:tab w:val="left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uppressAutoHyphens/>
      <w:spacing w:after="0" w:line="240" w:lineRule="auto"/>
    </w:pPr>
    <w:rPr>
      <w:rFonts w:ascii="Courier" w:eastAsia="Times New Roman" w:hAnsi="Courier" w:cs="Times New Roman"/>
      <w:b/>
      <w:snapToGrid w:val="0"/>
      <w:kern w:val="0"/>
      <w:sz w:val="24"/>
      <w:szCs w:val="20"/>
      <w:lang w:val="en-US" w:eastAsia="es-ES"/>
      <w14:ligatures w14:val="none"/>
    </w:rPr>
  </w:style>
  <w:style w:type="character" w:customStyle="1" w:styleId="EquationCaption">
    <w:name w:val="_Equation Caption"/>
    <w:basedOn w:val="Fuentedeencabezadopredeter"/>
    <w:rsid w:val="0021350F"/>
  </w:style>
  <w:style w:type="paragraph" w:customStyle="1" w:styleId="ndice1">
    <w:name w:val="índice 1"/>
    <w:basedOn w:val="Normal"/>
    <w:rsid w:val="0021350F"/>
    <w:pPr>
      <w:tabs>
        <w:tab w:val="left" w:leader="dot" w:pos="9000"/>
        <w:tab w:val="right" w:pos="9360"/>
      </w:tabs>
      <w:suppressAutoHyphens/>
      <w:spacing w:after="0" w:line="240" w:lineRule="auto"/>
      <w:ind w:left="1440" w:right="720" w:hanging="1440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ndice2">
    <w:name w:val="índice 2"/>
    <w:basedOn w:val="Normal"/>
    <w:rsid w:val="0021350F"/>
    <w:pPr>
      <w:tabs>
        <w:tab w:val="left" w:leader="dot" w:pos="9000"/>
        <w:tab w:val="righ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toa">
    <w:name w:val="toa"/>
    <w:basedOn w:val="Normal"/>
    <w:uiPriority w:val="99"/>
    <w:rsid w:val="0021350F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" w:eastAsia="Times New Roman" w:hAnsi="Courier" w:cs="Times New Roman"/>
      <w:snapToGrid w:val="0"/>
      <w:kern w:val="0"/>
      <w:sz w:val="24"/>
      <w:szCs w:val="20"/>
      <w:lang w:val="en-US" w:eastAsia="es-ES"/>
      <w14:ligatures w14:val="none"/>
    </w:rPr>
  </w:style>
  <w:style w:type="paragraph" w:customStyle="1" w:styleId="epgrafe">
    <w:name w:val="epígrafe"/>
    <w:basedOn w:val="Normal"/>
    <w:rsid w:val="0021350F"/>
    <w:pPr>
      <w:spacing w:after="0" w:line="240" w:lineRule="auto"/>
    </w:pPr>
    <w:rPr>
      <w:rFonts w:ascii="Courier" w:eastAsia="Times New Roman" w:hAnsi="Courier" w:cs="Times New Roman"/>
      <w:snapToGrid w:val="0"/>
      <w:kern w:val="0"/>
      <w:sz w:val="24"/>
      <w:szCs w:val="20"/>
      <w:lang w:val="es-ES_tradnl" w:eastAsia="es-ES"/>
      <w14:ligatures w14:val="none"/>
    </w:rPr>
  </w:style>
  <w:style w:type="character" w:customStyle="1" w:styleId="EquationCaption1">
    <w:name w:val="_Equation Caption1"/>
    <w:rsid w:val="0021350F"/>
  </w:style>
  <w:style w:type="paragraph" w:styleId="Textoindependiente">
    <w:name w:val="Body Text"/>
    <w:basedOn w:val="Normal"/>
    <w:link w:val="TextoindependienteCar"/>
    <w:rsid w:val="0021350F"/>
    <w:pPr>
      <w:spacing w:after="0" w:line="240" w:lineRule="atLeast"/>
      <w:jc w:val="both"/>
    </w:pPr>
    <w:rPr>
      <w:rFonts w:ascii="Arial" w:eastAsia="Times New Roman" w:hAnsi="Arial" w:cs="Times New Roman"/>
      <w:snapToGrid w:val="0"/>
      <w:spacing w:val="20"/>
      <w:kern w:val="0"/>
      <w:sz w:val="16"/>
      <w:szCs w:val="20"/>
      <w:lang w:val="es-ES_tradnl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21350F"/>
    <w:rPr>
      <w:rFonts w:ascii="Arial" w:eastAsia="Times New Roman" w:hAnsi="Arial" w:cs="Times New Roman"/>
      <w:snapToGrid w:val="0"/>
      <w:spacing w:val="20"/>
      <w:kern w:val="0"/>
      <w:sz w:val="16"/>
      <w:szCs w:val="20"/>
      <w:lang w:val="es-ES_tradnl" w:eastAsia="es-ES"/>
      <w14:ligatures w14:val="none"/>
    </w:rPr>
  </w:style>
  <w:style w:type="paragraph" w:styleId="Sangradetextonormal">
    <w:name w:val="Body Text Indent"/>
    <w:basedOn w:val="Normal"/>
    <w:link w:val="SangradetextonormalCar"/>
    <w:rsid w:val="0021350F"/>
    <w:pPr>
      <w:spacing w:after="0" w:line="240" w:lineRule="auto"/>
      <w:ind w:left="2127" w:hanging="1410"/>
      <w:jc w:val="both"/>
    </w:pPr>
    <w:rPr>
      <w:rFonts w:ascii="Arial" w:eastAsia="Times New Roman" w:hAnsi="Arial" w:cs="Times New Roman"/>
      <w:snapToGrid w:val="0"/>
      <w:kern w:val="0"/>
      <w:szCs w:val="20"/>
      <w:lang w:val="es-MX"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21350F"/>
    <w:rPr>
      <w:rFonts w:ascii="Arial" w:eastAsia="Times New Roman" w:hAnsi="Arial" w:cs="Times New Roman"/>
      <w:snapToGrid w:val="0"/>
      <w:kern w:val="0"/>
      <w:szCs w:val="20"/>
      <w:lang w:val="es-MX" w:eastAsia="es-ES"/>
      <w14:ligatures w14:val="none"/>
    </w:rPr>
  </w:style>
  <w:style w:type="paragraph" w:styleId="Sangra2detindependiente">
    <w:name w:val="Body Text Indent 2"/>
    <w:basedOn w:val="Normal"/>
    <w:link w:val="Sangra2detindependienteCar"/>
    <w:rsid w:val="0021350F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:lang w:val="es-ES_tradnl" w:eastAsia="es-ES"/>
      <w14:ligatures w14:val="none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1350F"/>
    <w:rPr>
      <w:rFonts w:ascii="Times New Roman" w:eastAsia="Times New Roman" w:hAnsi="Times New Roman" w:cs="Times New Roman"/>
      <w:kern w:val="0"/>
      <w:sz w:val="24"/>
      <w:szCs w:val="20"/>
      <w:lang w:val="es-ES_tradnl" w:eastAsia="es-ES"/>
      <w14:ligatures w14:val="none"/>
    </w:rPr>
  </w:style>
  <w:style w:type="character" w:styleId="Refdecomentario">
    <w:name w:val="annotation reference"/>
    <w:semiHidden/>
    <w:rsid w:val="0021350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21350F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0"/>
      <w:szCs w:val="20"/>
      <w:lang w:val="es-ES_tradnl"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1350F"/>
    <w:rPr>
      <w:rFonts w:ascii="Times New Roman" w:eastAsia="Times New Roman" w:hAnsi="Times New Roman" w:cs="Times New Roman"/>
      <w:snapToGrid w:val="0"/>
      <w:kern w:val="0"/>
      <w:sz w:val="20"/>
      <w:szCs w:val="20"/>
      <w:lang w:val="es-ES_tradnl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21350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21350F"/>
    <w:rPr>
      <w:rFonts w:ascii="Times New Roman" w:eastAsia="Times New Roman" w:hAnsi="Times New Roman" w:cs="Times New Roman"/>
      <w:b/>
      <w:bCs/>
      <w:snapToGrid w:val="0"/>
      <w:kern w:val="0"/>
      <w:sz w:val="20"/>
      <w:szCs w:val="20"/>
      <w:lang w:val="es-ES_tradnl" w:eastAsia="es-ES"/>
      <w14:ligatures w14:val="none"/>
    </w:rPr>
  </w:style>
  <w:style w:type="paragraph" w:styleId="Textodeglobo">
    <w:name w:val="Balloon Text"/>
    <w:basedOn w:val="Normal"/>
    <w:link w:val="TextodegloboCar"/>
    <w:semiHidden/>
    <w:rsid w:val="0021350F"/>
    <w:pPr>
      <w:spacing w:after="0" w:line="240" w:lineRule="auto"/>
    </w:pPr>
    <w:rPr>
      <w:rFonts w:ascii="Tahoma" w:eastAsia="Times New Roman" w:hAnsi="Tahoma" w:cs="Times New Roman"/>
      <w:snapToGrid w:val="0"/>
      <w:kern w:val="0"/>
      <w:sz w:val="16"/>
      <w:szCs w:val="16"/>
      <w:lang w:val="es-ES_tradnl" w:eastAsia="es-ES"/>
      <w14:ligatures w14:val="none"/>
    </w:rPr>
  </w:style>
  <w:style w:type="character" w:customStyle="1" w:styleId="TextodegloboCar">
    <w:name w:val="Texto de globo Car"/>
    <w:basedOn w:val="Fuentedeprrafopredeter"/>
    <w:link w:val="Textodeglobo"/>
    <w:semiHidden/>
    <w:rsid w:val="0021350F"/>
    <w:rPr>
      <w:rFonts w:ascii="Tahoma" w:eastAsia="Times New Roman" w:hAnsi="Tahoma" w:cs="Times New Roman"/>
      <w:snapToGrid w:val="0"/>
      <w:kern w:val="0"/>
      <w:sz w:val="16"/>
      <w:szCs w:val="16"/>
      <w:lang w:val="es-ES_tradnl" w:eastAsia="es-ES"/>
      <w14:ligatures w14:val="none"/>
    </w:rPr>
  </w:style>
  <w:style w:type="paragraph" w:styleId="Textonotapie">
    <w:name w:val="footnote text"/>
    <w:basedOn w:val="Normal"/>
    <w:link w:val="TextonotapieCar"/>
    <w:rsid w:val="0021350F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0"/>
      <w:szCs w:val="20"/>
      <w:lang w:val="es-ES_tradnl" w:eastAsia="es-ES"/>
      <w14:ligatures w14:val="none"/>
    </w:rPr>
  </w:style>
  <w:style w:type="character" w:customStyle="1" w:styleId="TextonotapieCar">
    <w:name w:val="Texto nota pie Car"/>
    <w:basedOn w:val="Fuentedeprrafopredeter"/>
    <w:link w:val="Textonotapie"/>
    <w:rsid w:val="0021350F"/>
    <w:rPr>
      <w:rFonts w:ascii="Times New Roman" w:eastAsia="Times New Roman" w:hAnsi="Times New Roman" w:cs="Times New Roman"/>
      <w:snapToGrid w:val="0"/>
      <w:kern w:val="0"/>
      <w:sz w:val="20"/>
      <w:szCs w:val="20"/>
      <w:lang w:val="es-ES_tradnl" w:eastAsia="es-ES"/>
      <w14:ligatures w14:val="none"/>
    </w:rPr>
  </w:style>
  <w:style w:type="character" w:styleId="Refdenotaalpie">
    <w:name w:val="footnote reference"/>
    <w:semiHidden/>
    <w:rsid w:val="0021350F"/>
    <w:rPr>
      <w:vertAlign w:val="superscript"/>
    </w:rPr>
  </w:style>
  <w:style w:type="character" w:styleId="Hipervnculo">
    <w:name w:val="Hyperlink"/>
    <w:uiPriority w:val="99"/>
    <w:unhideWhenUsed/>
    <w:rsid w:val="0021350F"/>
    <w:rPr>
      <w:color w:val="0000FF"/>
      <w:u w:val="single"/>
    </w:rPr>
  </w:style>
  <w:style w:type="character" w:styleId="Hipervnculovisitado">
    <w:name w:val="FollowedHyperlink"/>
    <w:uiPriority w:val="99"/>
    <w:unhideWhenUsed/>
    <w:rsid w:val="0021350F"/>
    <w:rPr>
      <w:color w:val="800080"/>
      <w:u w:val="single"/>
    </w:rPr>
  </w:style>
  <w:style w:type="paragraph" w:customStyle="1" w:styleId="xl69">
    <w:name w:val="xl69"/>
    <w:basedOn w:val="Normal"/>
    <w:rsid w:val="0021350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es-CO"/>
      <w14:ligatures w14:val="none"/>
    </w:rPr>
  </w:style>
  <w:style w:type="paragraph" w:customStyle="1" w:styleId="xl70">
    <w:name w:val="xl70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CC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es-CO"/>
      <w14:ligatures w14:val="none"/>
    </w:rPr>
  </w:style>
  <w:style w:type="paragraph" w:customStyle="1" w:styleId="xl71">
    <w:name w:val="xl71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CC00" w:fill="auto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kern w:val="0"/>
      <w:sz w:val="18"/>
      <w:szCs w:val="18"/>
      <w:lang w:eastAsia="es-CO"/>
      <w14:ligatures w14:val="none"/>
    </w:rPr>
  </w:style>
  <w:style w:type="paragraph" w:customStyle="1" w:styleId="xl72">
    <w:name w:val="xl72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es-CO"/>
      <w14:ligatures w14:val="none"/>
    </w:rPr>
  </w:style>
  <w:style w:type="paragraph" w:customStyle="1" w:styleId="xl73">
    <w:name w:val="xl73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CC00" w:fill="auto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es-CO"/>
      <w14:ligatures w14:val="none"/>
    </w:rPr>
  </w:style>
  <w:style w:type="paragraph" w:customStyle="1" w:styleId="Default">
    <w:name w:val="Default"/>
    <w:uiPriority w:val="99"/>
    <w:rsid w:val="002135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customStyle="1" w:styleId="xl74">
    <w:name w:val="xl74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es-CO"/>
      <w14:ligatures w14:val="none"/>
    </w:rPr>
  </w:style>
  <w:style w:type="paragraph" w:customStyle="1" w:styleId="xl75">
    <w:name w:val="xl75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CC00" w:fill="auto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es-CO"/>
      <w14:ligatures w14:val="none"/>
    </w:rPr>
  </w:style>
  <w:style w:type="paragraph" w:customStyle="1" w:styleId="xl76">
    <w:name w:val="xl76"/>
    <w:basedOn w:val="Normal"/>
    <w:rsid w:val="002135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es-CO"/>
      <w14:ligatures w14:val="none"/>
    </w:rPr>
  </w:style>
  <w:style w:type="paragraph" w:customStyle="1" w:styleId="xl77">
    <w:name w:val="xl77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es-CO"/>
      <w14:ligatures w14:val="none"/>
    </w:rPr>
  </w:style>
  <w:style w:type="paragraph" w:styleId="NormalWeb">
    <w:name w:val="Normal (Web)"/>
    <w:basedOn w:val="Normal"/>
    <w:uiPriority w:val="99"/>
    <w:unhideWhenUsed/>
    <w:rsid w:val="00213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styleId="Revisin">
    <w:name w:val="Revision"/>
    <w:hidden/>
    <w:uiPriority w:val="99"/>
    <w:semiHidden/>
    <w:rsid w:val="0021350F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0"/>
      <w:szCs w:val="20"/>
      <w:lang w:val="es-ES_tradnl" w:eastAsia="es-ES"/>
      <w14:ligatures w14:val="none"/>
    </w:rPr>
  </w:style>
  <w:style w:type="paragraph" w:customStyle="1" w:styleId="xl78">
    <w:name w:val="xl78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CC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es-CO"/>
      <w14:ligatures w14:val="none"/>
    </w:rPr>
  </w:style>
  <w:style w:type="paragraph" w:customStyle="1" w:styleId="xl79">
    <w:name w:val="xl79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customStyle="1" w:styleId="xl80">
    <w:name w:val="xl80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CC00" w:fill="DCE6F1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customStyle="1" w:styleId="xl81">
    <w:name w:val="xl81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CC00" w:fill="DCE6F1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customStyle="1" w:styleId="xl82">
    <w:name w:val="xl82"/>
    <w:basedOn w:val="Normal"/>
    <w:rsid w:val="0021350F"/>
    <w:pPr>
      <w:shd w:val="clear" w:color="000000" w:fill="C0504D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customStyle="1" w:styleId="xl83">
    <w:name w:val="xl83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504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customStyle="1" w:styleId="xl84">
    <w:name w:val="xl84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504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customStyle="1" w:styleId="xl85">
    <w:name w:val="xl85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CC00" w:fill="C0504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customStyle="1" w:styleId="xl86">
    <w:name w:val="xl86"/>
    <w:basedOn w:val="Normal"/>
    <w:rsid w:val="00213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CC00" w:fill="C0504D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kern w:val="0"/>
      <w:sz w:val="16"/>
      <w:szCs w:val="16"/>
      <w:lang w:eastAsia="es-CO"/>
      <w14:ligatures w14:val="none"/>
    </w:rPr>
  </w:style>
  <w:style w:type="paragraph" w:styleId="Sinespaciado">
    <w:name w:val="No Spacing"/>
    <w:uiPriority w:val="1"/>
    <w:qFormat/>
    <w:rsid w:val="0021350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DC1">
    <w:name w:val="toc 1"/>
    <w:basedOn w:val="Normal"/>
    <w:next w:val="Normal"/>
    <w:autoRedefine/>
    <w:uiPriority w:val="39"/>
    <w:rsid w:val="0021350F"/>
    <w:pPr>
      <w:spacing w:before="120" w:after="120" w:line="240" w:lineRule="auto"/>
    </w:pPr>
    <w:rPr>
      <w:rFonts w:ascii="Calibri" w:eastAsia="Times New Roman" w:hAnsi="Calibri" w:cs="Calibri"/>
      <w:b/>
      <w:bCs/>
      <w:caps/>
      <w:snapToGrid w:val="0"/>
      <w:kern w:val="0"/>
      <w:sz w:val="20"/>
      <w:szCs w:val="20"/>
      <w:lang w:val="es-ES_tradnl" w:eastAsia="es-ES"/>
      <w14:ligatures w14:val="none"/>
    </w:rPr>
  </w:style>
  <w:style w:type="paragraph" w:styleId="TDC2">
    <w:name w:val="toc 2"/>
    <w:basedOn w:val="Normal"/>
    <w:next w:val="Normal"/>
    <w:autoRedefine/>
    <w:uiPriority w:val="39"/>
    <w:rsid w:val="0021350F"/>
    <w:pPr>
      <w:spacing w:after="0" w:line="240" w:lineRule="auto"/>
      <w:ind w:left="200"/>
    </w:pPr>
    <w:rPr>
      <w:rFonts w:ascii="Calibri" w:eastAsia="Times New Roman" w:hAnsi="Calibri" w:cs="Calibri"/>
      <w:smallCaps/>
      <w:snapToGrid w:val="0"/>
      <w:kern w:val="0"/>
      <w:sz w:val="20"/>
      <w:szCs w:val="20"/>
      <w:lang w:val="es-ES_tradnl" w:eastAsia="es-ES"/>
      <w14:ligatures w14:val="none"/>
    </w:rPr>
  </w:style>
  <w:style w:type="paragraph" w:styleId="TDC3">
    <w:name w:val="toc 3"/>
    <w:basedOn w:val="Normal"/>
    <w:next w:val="Normal"/>
    <w:autoRedefine/>
    <w:uiPriority w:val="39"/>
    <w:rsid w:val="0021350F"/>
    <w:pPr>
      <w:spacing w:after="0" w:line="240" w:lineRule="auto"/>
      <w:ind w:left="400"/>
    </w:pPr>
    <w:rPr>
      <w:rFonts w:ascii="Calibri" w:eastAsia="Times New Roman" w:hAnsi="Calibri" w:cs="Calibri"/>
      <w:i/>
      <w:iCs/>
      <w:snapToGrid w:val="0"/>
      <w:kern w:val="0"/>
      <w:sz w:val="20"/>
      <w:szCs w:val="20"/>
      <w:lang w:val="es-ES_tradnl" w:eastAsia="es-ES"/>
      <w14:ligatures w14:val="none"/>
    </w:rPr>
  </w:style>
  <w:style w:type="paragraph" w:styleId="TDC4">
    <w:name w:val="toc 4"/>
    <w:basedOn w:val="Normal"/>
    <w:next w:val="Normal"/>
    <w:autoRedefine/>
    <w:rsid w:val="0021350F"/>
    <w:pPr>
      <w:spacing w:after="0" w:line="240" w:lineRule="auto"/>
      <w:ind w:left="600"/>
    </w:pPr>
    <w:rPr>
      <w:rFonts w:ascii="Calibri" w:eastAsia="Times New Roman" w:hAnsi="Calibri" w:cs="Calibri"/>
      <w:snapToGrid w:val="0"/>
      <w:kern w:val="0"/>
      <w:sz w:val="18"/>
      <w:szCs w:val="18"/>
      <w:lang w:val="es-ES_tradnl" w:eastAsia="es-ES"/>
      <w14:ligatures w14:val="none"/>
    </w:rPr>
  </w:style>
  <w:style w:type="paragraph" w:styleId="TDC5">
    <w:name w:val="toc 5"/>
    <w:basedOn w:val="Normal"/>
    <w:next w:val="Normal"/>
    <w:autoRedefine/>
    <w:rsid w:val="0021350F"/>
    <w:pPr>
      <w:spacing w:after="0" w:line="240" w:lineRule="auto"/>
      <w:ind w:left="800"/>
    </w:pPr>
    <w:rPr>
      <w:rFonts w:ascii="Calibri" w:eastAsia="Times New Roman" w:hAnsi="Calibri" w:cs="Calibri"/>
      <w:snapToGrid w:val="0"/>
      <w:kern w:val="0"/>
      <w:sz w:val="18"/>
      <w:szCs w:val="18"/>
      <w:lang w:val="es-ES_tradnl" w:eastAsia="es-ES"/>
      <w14:ligatures w14:val="none"/>
    </w:rPr>
  </w:style>
  <w:style w:type="paragraph" w:styleId="TDC6">
    <w:name w:val="toc 6"/>
    <w:basedOn w:val="Normal"/>
    <w:next w:val="Normal"/>
    <w:autoRedefine/>
    <w:rsid w:val="0021350F"/>
    <w:pPr>
      <w:spacing w:after="0" w:line="240" w:lineRule="auto"/>
      <w:ind w:left="1000"/>
    </w:pPr>
    <w:rPr>
      <w:rFonts w:ascii="Calibri" w:eastAsia="Times New Roman" w:hAnsi="Calibri" w:cs="Calibri"/>
      <w:snapToGrid w:val="0"/>
      <w:kern w:val="0"/>
      <w:sz w:val="18"/>
      <w:szCs w:val="18"/>
      <w:lang w:val="es-ES_tradnl" w:eastAsia="es-ES"/>
      <w14:ligatures w14:val="none"/>
    </w:rPr>
  </w:style>
  <w:style w:type="paragraph" w:styleId="TDC7">
    <w:name w:val="toc 7"/>
    <w:basedOn w:val="Normal"/>
    <w:next w:val="Normal"/>
    <w:autoRedefine/>
    <w:rsid w:val="0021350F"/>
    <w:pPr>
      <w:spacing w:after="0" w:line="240" w:lineRule="auto"/>
      <w:ind w:left="1200"/>
    </w:pPr>
    <w:rPr>
      <w:rFonts w:ascii="Calibri" w:eastAsia="Times New Roman" w:hAnsi="Calibri" w:cs="Calibri"/>
      <w:snapToGrid w:val="0"/>
      <w:kern w:val="0"/>
      <w:sz w:val="18"/>
      <w:szCs w:val="18"/>
      <w:lang w:val="es-ES_tradnl" w:eastAsia="es-ES"/>
      <w14:ligatures w14:val="none"/>
    </w:rPr>
  </w:style>
  <w:style w:type="paragraph" w:styleId="TDC8">
    <w:name w:val="toc 8"/>
    <w:basedOn w:val="Normal"/>
    <w:next w:val="Normal"/>
    <w:autoRedefine/>
    <w:rsid w:val="0021350F"/>
    <w:pPr>
      <w:spacing w:after="0" w:line="240" w:lineRule="auto"/>
      <w:ind w:left="1400"/>
    </w:pPr>
    <w:rPr>
      <w:rFonts w:ascii="Calibri" w:eastAsia="Times New Roman" w:hAnsi="Calibri" w:cs="Calibri"/>
      <w:snapToGrid w:val="0"/>
      <w:kern w:val="0"/>
      <w:sz w:val="18"/>
      <w:szCs w:val="18"/>
      <w:lang w:val="es-ES_tradnl" w:eastAsia="es-ES"/>
      <w14:ligatures w14:val="none"/>
    </w:rPr>
  </w:style>
  <w:style w:type="paragraph" w:styleId="TDC9">
    <w:name w:val="toc 9"/>
    <w:basedOn w:val="Normal"/>
    <w:next w:val="Normal"/>
    <w:autoRedefine/>
    <w:rsid w:val="0021350F"/>
    <w:pPr>
      <w:spacing w:after="0" w:line="240" w:lineRule="auto"/>
      <w:ind w:left="1600"/>
    </w:pPr>
    <w:rPr>
      <w:rFonts w:ascii="Calibri" w:eastAsia="Times New Roman" w:hAnsi="Calibri" w:cs="Calibri"/>
      <w:snapToGrid w:val="0"/>
      <w:kern w:val="0"/>
      <w:sz w:val="18"/>
      <w:szCs w:val="18"/>
      <w:lang w:val="es-ES_tradnl" w:eastAsia="es-ES"/>
      <w14:ligatures w14:val="none"/>
    </w:rPr>
  </w:style>
  <w:style w:type="character" w:styleId="Textodelmarcadordeposicin">
    <w:name w:val="Placeholder Text"/>
    <w:uiPriority w:val="99"/>
    <w:semiHidden/>
    <w:rsid w:val="0021350F"/>
    <w:rPr>
      <w:color w:val="808080"/>
    </w:rPr>
  </w:style>
  <w:style w:type="paragraph" w:styleId="Textoindependiente3">
    <w:name w:val="Body Text 3"/>
    <w:basedOn w:val="Normal"/>
    <w:link w:val="Textoindependiente3Car"/>
    <w:rsid w:val="0021350F"/>
    <w:pPr>
      <w:spacing w:after="120" w:line="240" w:lineRule="auto"/>
    </w:pPr>
    <w:rPr>
      <w:rFonts w:ascii="Times New Roman" w:eastAsia="Times New Roman" w:hAnsi="Times New Roman" w:cs="Times New Roman"/>
      <w:snapToGrid w:val="0"/>
      <w:kern w:val="0"/>
      <w:sz w:val="16"/>
      <w:szCs w:val="16"/>
      <w:lang w:val="es-ES_tradnl"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rsid w:val="0021350F"/>
    <w:rPr>
      <w:rFonts w:ascii="Times New Roman" w:eastAsia="Times New Roman" w:hAnsi="Times New Roman" w:cs="Times New Roman"/>
      <w:snapToGrid w:val="0"/>
      <w:kern w:val="0"/>
      <w:sz w:val="16"/>
      <w:szCs w:val="16"/>
      <w:lang w:val="es-ES_tradnl" w:eastAsia="es-ES"/>
      <w14:ligatures w14:val="none"/>
    </w:rPr>
  </w:style>
  <w:style w:type="table" w:styleId="Tablaconcuadrcula">
    <w:name w:val="Table Grid"/>
    <w:basedOn w:val="Tablanormal"/>
    <w:uiPriority w:val="59"/>
    <w:rsid w:val="0021350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9pt">
    <w:name w:val="Normal + 9 pt"/>
    <w:aliases w:val="Sin Expandido / Comprimido"/>
    <w:basedOn w:val="Textoindependiente"/>
    <w:rsid w:val="0021350F"/>
    <w:pPr>
      <w:numPr>
        <w:numId w:val="1"/>
      </w:numPr>
      <w:spacing w:line="240" w:lineRule="auto"/>
    </w:pPr>
    <w:rPr>
      <w:rFonts w:cs="Arial"/>
      <w:i/>
      <w:snapToGrid/>
      <w:spacing w:val="0"/>
      <w:sz w:val="18"/>
      <w:szCs w:val="18"/>
      <w:lang w:val="es-MX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50F"/>
    <w:rPr>
      <w:color w:val="605E5C"/>
      <w:shd w:val="clear" w:color="auto" w:fill="E1DFDD"/>
    </w:rPr>
  </w:style>
  <w:style w:type="paragraph" w:customStyle="1" w:styleId="Titulo2">
    <w:name w:val="Titulo 2"/>
    <w:basedOn w:val="Normal"/>
    <w:rsid w:val="0021350F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customStyle="1" w:styleId="Titulo">
    <w:name w:val="Titulo"/>
    <w:basedOn w:val="Normal"/>
    <w:rsid w:val="0021350F"/>
    <w:pPr>
      <w:numPr>
        <w:ilvl w:val="1"/>
        <w:numId w:val="2"/>
      </w:num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styleId="Fuerte">
    <w:name w:val="Strong"/>
    <w:basedOn w:val="Fuentedeprrafopredeter"/>
    <w:uiPriority w:val="22"/>
    <w:qFormat/>
    <w:rsid w:val="0021350F"/>
    <w:rPr>
      <w:b/>
      <w:bCs/>
    </w:rPr>
  </w:style>
  <w:style w:type="character" w:styleId="nfasis">
    <w:name w:val="Emphasis"/>
    <w:basedOn w:val="Fuentedeprrafopredeter"/>
    <w:uiPriority w:val="20"/>
    <w:qFormat/>
    <w:rsid w:val="0021350F"/>
    <w:rPr>
      <w:i/>
      <w:iCs/>
    </w:rPr>
  </w:style>
  <w:style w:type="character" w:customStyle="1" w:styleId="ui-provider">
    <w:name w:val="ui-provider"/>
    <w:basedOn w:val="Fuentedeprrafopredeter"/>
    <w:rsid w:val="0021350F"/>
  </w:style>
  <w:style w:type="character" w:styleId="Mencinsinresolver">
    <w:name w:val="Unresolved Mention"/>
    <w:basedOn w:val="Fuentedeprrafopredeter"/>
    <w:uiPriority w:val="99"/>
    <w:semiHidden/>
    <w:unhideWhenUsed/>
    <w:rsid w:val="0021350F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923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4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2DB2B3-2C6D-4114-B200-AFA8D2BCD1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FF300F-F9C1-4CCC-8BDA-347657FE6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CD7826-EC9E-4AC0-82C0-213E5C0AE0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410</Words>
  <Characters>2302</Characters>
  <Application>Microsoft Office Word</Application>
  <DocSecurity>0</DocSecurity>
  <Lines>54</Lines>
  <Paragraphs>22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Durán Méndez</dc:creator>
  <cp:keywords/>
  <dc:description/>
  <cp:lastModifiedBy>Superintendencia Financiera </cp:lastModifiedBy>
  <cp:revision>15</cp:revision>
  <dcterms:created xsi:type="dcterms:W3CDTF">2025-03-18T15:33:00Z</dcterms:created>
  <dcterms:modified xsi:type="dcterms:W3CDTF">2026-04-13T15:17:00Z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es</vt:lpwstr>
  </property>
</Properties>
</file>